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4D" w:rsidRPr="00AE6697" w:rsidRDefault="0014034D" w:rsidP="0014034D">
      <w:pPr>
        <w:pStyle w:val="Descripcin"/>
        <w:jc w:val="center"/>
        <w:rPr>
          <w:rFonts w:cs="Times New Roman"/>
          <w:color w:val="auto"/>
          <w:sz w:val="22"/>
          <w:szCs w:val="22"/>
        </w:rPr>
      </w:pPr>
      <w:bookmarkStart w:id="0" w:name="_Toc474502645"/>
      <w:r w:rsidRPr="00614AA3">
        <w:rPr>
          <w:color w:val="auto"/>
          <w:sz w:val="22"/>
          <w:szCs w:val="22"/>
        </w:rPr>
        <w:t xml:space="preserve">Table </w:t>
      </w:r>
      <w:r w:rsidRPr="00614AA3">
        <w:rPr>
          <w:color w:val="auto"/>
          <w:sz w:val="22"/>
          <w:szCs w:val="22"/>
        </w:rPr>
        <w:fldChar w:fldCharType="begin"/>
      </w:r>
      <w:r w:rsidRPr="00614AA3">
        <w:rPr>
          <w:color w:val="auto"/>
          <w:sz w:val="22"/>
          <w:szCs w:val="22"/>
        </w:rPr>
        <w:instrText xml:space="preserve"> SEQ Table \* ARABIC </w:instrText>
      </w:r>
      <w:r w:rsidRPr="00614AA3">
        <w:rPr>
          <w:color w:val="auto"/>
          <w:sz w:val="22"/>
          <w:szCs w:val="22"/>
        </w:rPr>
        <w:fldChar w:fldCharType="separate"/>
      </w:r>
      <w:r>
        <w:rPr>
          <w:noProof/>
          <w:color w:val="auto"/>
          <w:sz w:val="22"/>
          <w:szCs w:val="22"/>
        </w:rPr>
        <w:t>1</w:t>
      </w:r>
      <w:r w:rsidRPr="00614AA3">
        <w:rPr>
          <w:color w:val="auto"/>
          <w:sz w:val="22"/>
          <w:szCs w:val="22"/>
        </w:rPr>
        <w:fldChar w:fldCharType="end"/>
      </w:r>
      <w:r w:rsidRPr="00614AA3">
        <w:rPr>
          <w:color w:val="auto"/>
          <w:sz w:val="22"/>
          <w:szCs w:val="22"/>
        </w:rPr>
        <w:t xml:space="preserve">. </w:t>
      </w:r>
      <w:r w:rsidRPr="00614AA3">
        <w:rPr>
          <w:rFonts w:cs="Times New Roman"/>
          <w:color w:val="auto"/>
          <w:sz w:val="22"/>
          <w:szCs w:val="22"/>
        </w:rPr>
        <w:t>Average square metre prices and densities</w:t>
      </w:r>
      <w:bookmarkEnd w:id="0"/>
    </w:p>
    <w:tbl>
      <w:tblPr>
        <w:tblW w:w="9822" w:type="dxa"/>
        <w:tblLayout w:type="fixed"/>
        <w:tblLook w:val="04A0" w:firstRow="1" w:lastRow="0" w:firstColumn="1" w:lastColumn="0" w:noHBand="0" w:noVBand="1"/>
      </w:tblPr>
      <w:tblGrid>
        <w:gridCol w:w="1416"/>
        <w:gridCol w:w="1102"/>
        <w:gridCol w:w="1606"/>
        <w:gridCol w:w="1099"/>
        <w:gridCol w:w="1014"/>
        <w:gridCol w:w="1316"/>
        <w:gridCol w:w="1120"/>
        <w:gridCol w:w="1149"/>
      </w:tblGrid>
      <w:tr w:rsidR="0014034D" w:rsidRPr="00683A74" w:rsidTr="00B02FC6">
        <w:tc>
          <w:tcPr>
            <w:tcW w:w="1416" w:type="dxa"/>
            <w:vAlign w:val="center"/>
          </w:tcPr>
          <w:p w:rsidR="0014034D" w:rsidRPr="00683A74" w:rsidRDefault="0014034D" w:rsidP="00B02F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  <w:vAlign w:val="center"/>
          </w:tcPr>
          <w:p w:rsidR="0014034D" w:rsidRPr="00683A74" w:rsidRDefault="0014034D" w:rsidP="00B02FC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37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34D" w:rsidRPr="00921DC7" w:rsidRDefault="0014034D" w:rsidP="00B0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DC7">
              <w:rPr>
                <w:rFonts w:ascii="Times New Roman" w:hAnsi="Times New Roman" w:cs="Times New Roman"/>
                <w:i/>
                <w:sz w:val="20"/>
                <w:szCs w:val="20"/>
              </w:rPr>
              <w:t>Grunnkrets</w:t>
            </w:r>
            <w:proofErr w:type="spellEnd"/>
            <w:r w:rsidRPr="00921DC7">
              <w:rPr>
                <w:rFonts w:ascii="Times New Roman" w:hAnsi="Times New Roman" w:cs="Times New Roman"/>
                <w:sz w:val="20"/>
                <w:szCs w:val="20"/>
              </w:rPr>
              <w:t>-based densities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85" w:type="dxa"/>
            <w:gridSpan w:val="3"/>
            <w:tcBorders>
              <w:left w:val="single" w:sz="4" w:space="0" w:color="auto"/>
            </w:tcBorders>
            <w:vAlign w:val="center"/>
          </w:tcPr>
          <w:p w:rsidR="0014034D" w:rsidRPr="00921DC7" w:rsidRDefault="0014034D" w:rsidP="00B02F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DC7">
              <w:rPr>
                <w:rFonts w:ascii="Times New Roman" w:hAnsi="Times New Roman" w:cs="Times New Roman"/>
                <w:sz w:val="20"/>
                <w:szCs w:val="20"/>
              </w:rPr>
              <w:t>Average hectare circle-based densities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14034D" w:rsidRPr="00683A74" w:rsidTr="00B02FC6"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Urban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rea</w:t>
            </w:r>
          </w:p>
        </w:tc>
        <w:tc>
          <w:tcPr>
            <w:tcW w:w="11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2FA">
              <w:rPr>
                <w:rFonts w:ascii="Times New Roman" w:hAnsi="Times New Roman" w:cs="Times New Roman"/>
                <w:sz w:val="18"/>
                <w:szCs w:val="18"/>
              </w:rPr>
              <w:t>Average NOK price per m</w:t>
            </w:r>
            <w:r w:rsidRPr="001862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34D" w:rsidRDefault="0014034D" w:rsidP="00B02F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Built coverage density</w:t>
            </w:r>
          </w:p>
          <w:p w:rsidR="0014034D" w:rsidRPr="00683A74" w:rsidRDefault="0014034D" w:rsidP="00B02F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(%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plot</w:t>
            </w: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 area)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Dwelling unit density (units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 ha)</w:t>
            </w:r>
          </w:p>
        </w:tc>
        <w:tc>
          <w:tcPr>
            <w:tcW w:w="10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34D" w:rsidRDefault="0014034D" w:rsidP="00B02F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Population density</w:t>
            </w:r>
          </w:p>
          <w:p w:rsidR="0014034D" w:rsidRPr="00683A74" w:rsidRDefault="0014034D" w:rsidP="00B02F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(pers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 ha)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34D" w:rsidRDefault="0014034D" w:rsidP="00B02F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Built coverage density</w:t>
            </w:r>
          </w:p>
          <w:p w:rsidR="0014034D" w:rsidRPr="00683A74" w:rsidRDefault="0014034D" w:rsidP="00B02F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(%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plot</w:t>
            </w: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 area)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Dwelling unit density (units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 ha)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Population density (pers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ha)</w:t>
            </w:r>
          </w:p>
        </w:tc>
      </w:tr>
      <w:tr w:rsidR="0014034D" w:rsidRPr="00683A74" w:rsidTr="00B02FC6">
        <w:trPr>
          <w:trHeight w:val="334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Midtbyen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49522.03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31.24319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27.3668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37.27576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33.556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76.11111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105.3611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Øya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44144.26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14.99308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20.77107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25.46373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17.8133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102.0706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119.1294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Elvehavn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56624.62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28.8629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64.06121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70.34461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22.7672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187.4928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208.3768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 Buran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43305.11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33.85348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134.5982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158.1368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22.831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143.5882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176.0294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Bakklandet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52214.45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33.75853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75.38294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97.34675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33.7009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81.26415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112.5094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Møllenberg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43461.24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33.57972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94.72068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115.9373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26.4257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107.3649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121.9865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Singsaker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44375.01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16.50833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18.1603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36.47114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17.1389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53.51515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61.09091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Rosenborg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32461.6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19.1092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43.79922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69.96051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14.1873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32.71429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62.28571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Gløshaugen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42805.05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24.49498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75.25273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79.12404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17.6546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112.0227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106.75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10 Ila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45810.98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22.30171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37.15877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52.67391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21.2688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103.9604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132.3366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Ilabekken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33018.1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8.690827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10.42889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24.33408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11.7742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20.2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Selsbak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36012.84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13.40433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15.11179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29.23108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9.3188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47.61039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Sjetnemarka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26921.75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11.03952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8.359928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21.1524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15.4239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17.14286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43.82143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Kolstad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28134.39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11.63399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22.94064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44.35794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11.7819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57.33333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118.8667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15 Tiller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30741.61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18.89509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19.99317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50.79429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16.9758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34.40206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75.75258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Kattem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25880.52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13.06405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18.25703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43.04455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12.2009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42.85714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103.1224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Moholt</w:t>
            </w:r>
            <w:proofErr w:type="spellEnd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Eb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38341.07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11.91568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20.32226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33.85865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13.5289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64.36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96.04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Persaunet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43577.04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21.27847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40.69085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66.47749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12.9862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47.33333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80.9375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Nardo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42775.44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16.84235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19.3603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32.80261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8.9541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32.69767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53.27907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Angeltrøa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38896.6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16.45107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15.17837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42.96817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14.8621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40.46667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76.4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21 Ned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Charlot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40773.57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12.07866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13.71206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23.96629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16.8762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65.54546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Ranheim</w:t>
            </w:r>
            <w:proofErr w:type="spellEnd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/Old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33140.5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13.69619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13.39398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33.63238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15.7745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19.95652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46.08696</w:t>
            </w:r>
          </w:p>
        </w:tc>
      </w:tr>
      <w:tr w:rsidR="0014034D" w:rsidRPr="00683A74" w:rsidTr="00B02FC6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4D" w:rsidRPr="00683A74" w:rsidRDefault="0014034D" w:rsidP="00B02FC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  <w:proofErr w:type="spellStart"/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Ranheim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37320.99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11.17222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15.19191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33.13085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13.6172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28.94444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034D" w:rsidRPr="00683A74" w:rsidRDefault="0014034D" w:rsidP="00B02F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A74">
              <w:rPr>
                <w:rFonts w:ascii="Times New Roman" w:hAnsi="Times New Roman" w:cs="Times New Roman"/>
                <w:sz w:val="18"/>
                <w:szCs w:val="18"/>
              </w:rPr>
              <w:t>36.05556</w:t>
            </w:r>
          </w:p>
        </w:tc>
      </w:tr>
    </w:tbl>
    <w:p w:rsidR="0014034D" w:rsidRPr="0036345A" w:rsidRDefault="0014034D" w:rsidP="0014034D">
      <w:pPr>
        <w:pStyle w:val="Descripcin"/>
        <w:spacing w:before="240"/>
        <w:jc w:val="both"/>
        <w:rPr>
          <w:rFonts w:cs="Times New Roman"/>
          <w:i w:val="0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* </w:t>
      </w:r>
      <w:proofErr w:type="spellStart"/>
      <w:r w:rsidRPr="0036345A">
        <w:rPr>
          <w:rFonts w:cs="Times New Roman"/>
          <w:color w:val="auto"/>
          <w:sz w:val="20"/>
          <w:szCs w:val="20"/>
        </w:rPr>
        <w:t>Grunnkrets</w:t>
      </w:r>
      <w:proofErr w:type="spellEnd"/>
      <w:r w:rsidRPr="0036345A">
        <w:rPr>
          <w:rFonts w:cs="Times New Roman"/>
          <w:i w:val="0"/>
          <w:color w:val="auto"/>
          <w:sz w:val="20"/>
          <w:szCs w:val="20"/>
        </w:rPr>
        <w:t xml:space="preserve"> are a type of </w:t>
      </w:r>
      <w:hyperlink r:id="rId4" w:tooltip="Statistical unit" w:history="1">
        <w:r w:rsidRPr="0036345A">
          <w:rPr>
            <w:rFonts w:cs="Times New Roman"/>
            <w:i w:val="0"/>
            <w:color w:val="auto"/>
            <w:sz w:val="20"/>
            <w:szCs w:val="20"/>
          </w:rPr>
          <w:t>geographic unit</w:t>
        </w:r>
      </w:hyperlink>
      <w:r w:rsidRPr="0036345A">
        <w:rPr>
          <w:rFonts w:cs="Times New Roman"/>
          <w:i w:val="0"/>
          <w:color w:val="auto"/>
          <w:sz w:val="20"/>
          <w:szCs w:val="20"/>
        </w:rPr>
        <w:t xml:space="preserve"> used to provide statistical information in </w:t>
      </w:r>
      <w:hyperlink r:id="rId5" w:tooltip="Norway" w:history="1">
        <w:r w:rsidRPr="0036345A">
          <w:rPr>
            <w:rFonts w:cs="Times New Roman"/>
            <w:i w:val="0"/>
            <w:color w:val="auto"/>
            <w:sz w:val="20"/>
            <w:szCs w:val="20"/>
          </w:rPr>
          <w:t>Norway</w:t>
        </w:r>
      </w:hyperlink>
      <w:r w:rsidRPr="0036345A">
        <w:rPr>
          <w:rFonts w:cs="Times New Roman"/>
          <w:i w:val="0"/>
          <w:color w:val="auto"/>
          <w:sz w:val="20"/>
          <w:szCs w:val="20"/>
        </w:rPr>
        <w:t xml:space="preserve">. These basic statistical areas are subdivisions of </w:t>
      </w:r>
      <w:hyperlink r:id="rId6" w:tooltip="Municipalities of Norway" w:history="1">
        <w:r w:rsidRPr="0036345A">
          <w:rPr>
            <w:rFonts w:cs="Times New Roman"/>
            <w:i w:val="0"/>
            <w:color w:val="auto"/>
            <w:sz w:val="20"/>
            <w:szCs w:val="20"/>
          </w:rPr>
          <w:t>municipalities</w:t>
        </w:r>
      </w:hyperlink>
      <w:r w:rsidRPr="0036345A">
        <w:rPr>
          <w:rFonts w:cs="Times New Roman"/>
          <w:i w:val="0"/>
          <w:color w:val="auto"/>
          <w:sz w:val="20"/>
          <w:szCs w:val="20"/>
        </w:rPr>
        <w:t xml:space="preserve"> intended to cover a homogeneous area. They vary in size and population density.</w:t>
      </w:r>
    </w:p>
    <w:p w:rsidR="0014034D" w:rsidRPr="0036345A" w:rsidRDefault="0014034D" w:rsidP="0014034D">
      <w:p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** </w:t>
      </w:r>
      <w:r w:rsidRPr="0036345A">
        <w:rPr>
          <w:rFonts w:cs="Times New Roman"/>
          <w:sz w:val="20"/>
          <w:szCs w:val="20"/>
        </w:rPr>
        <w:t xml:space="preserve">Average hectare circles are </w:t>
      </w:r>
      <w:r>
        <w:rPr>
          <w:rFonts w:cs="Times New Roman"/>
          <w:sz w:val="20"/>
          <w:szCs w:val="20"/>
        </w:rPr>
        <w:t>1</w:t>
      </w:r>
      <w:r w:rsidRPr="0036345A">
        <w:rPr>
          <w:rFonts w:cs="Times New Roman"/>
          <w:sz w:val="20"/>
          <w:szCs w:val="20"/>
        </w:rPr>
        <w:t xml:space="preserve"> hectare circles around each sales point. Their purpose is to calculate more detailed density measures in the immediate vicinity of each sales point.</w:t>
      </w:r>
    </w:p>
    <w:p w:rsidR="00F00176" w:rsidRDefault="00F00176">
      <w:bookmarkStart w:id="1" w:name="_GoBack"/>
      <w:bookmarkEnd w:id="1"/>
    </w:p>
    <w:sectPr w:rsidR="00F00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4D"/>
    <w:rsid w:val="0014034D"/>
    <w:rsid w:val="002C43E3"/>
    <w:rsid w:val="00AE49CE"/>
    <w:rsid w:val="00F0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43FD-657B-4515-98E8-B6073926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34D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14034D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Municipalities_of_Norway" TargetMode="External"/><Relationship Id="rId5" Type="http://schemas.openxmlformats.org/officeDocument/2006/relationships/hyperlink" Target="https://en.wikipedia.org/wiki/Norway" TargetMode="External"/><Relationship Id="rId4" Type="http://schemas.openxmlformats.org/officeDocument/2006/relationships/hyperlink" Target="https://en.wikipedia.org/wiki/Statistical_un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1</cp:revision>
  <dcterms:created xsi:type="dcterms:W3CDTF">2017-04-27T14:54:00Z</dcterms:created>
  <dcterms:modified xsi:type="dcterms:W3CDTF">2017-04-27T14:55:00Z</dcterms:modified>
</cp:coreProperties>
</file>